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F8339A" w:rsidP="00F2555F">
      <w:pPr>
        <w:tabs>
          <w:tab w:val="left" w:pos="2160"/>
        </w:tabs>
        <w:spacing w:line="800" w:lineRule="exact"/>
        <w:jc w:val="center"/>
        <w:rPr>
          <w:b/>
          <w:kern w:val="24"/>
          <w:sz w:val="48"/>
          <w:szCs w:val="48"/>
        </w:rPr>
      </w:pPr>
      <w:r>
        <w:rPr>
          <w:rFonts w:hint="eastAsia"/>
          <w:b/>
          <w:kern w:val="24"/>
          <w:sz w:val="48"/>
          <w:szCs w:val="48"/>
        </w:rPr>
        <w:t>体外生命支持系统</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F8339A"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F8339A">
        <w:rPr>
          <w:rFonts w:ascii="黑体" w:eastAsia="黑体" w:hint="eastAsia"/>
          <w:sz w:val="30"/>
          <w:szCs w:val="30"/>
        </w:rPr>
        <w:t>9</w:t>
      </w:r>
      <w:r w:rsidRPr="00BA5CC0">
        <w:rPr>
          <w:rFonts w:ascii="黑体" w:eastAsia="黑体" w:hint="eastAsia"/>
          <w:sz w:val="30"/>
          <w:szCs w:val="30"/>
        </w:rPr>
        <w:t>月</w:t>
      </w:r>
      <w:r w:rsidR="00741B09">
        <w:rPr>
          <w:rFonts w:ascii="黑体" w:eastAsia="黑体" w:hint="eastAsia"/>
          <w:sz w:val="30"/>
          <w:szCs w:val="30"/>
        </w:rPr>
        <w:t>2</w:t>
      </w:r>
      <w:r w:rsidR="00C63666">
        <w:rPr>
          <w:rFonts w:ascii="黑体" w:eastAsia="黑体" w:hint="eastAsia"/>
          <w:sz w:val="30"/>
          <w:szCs w:val="30"/>
        </w:rPr>
        <w:t>5</w:t>
      </w:r>
      <w:r w:rsidRPr="00BA5CC0">
        <w:rPr>
          <w:rFonts w:ascii="黑体" w:eastAsia="黑体" w:hint="eastAsia"/>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F8339A">
        <w:rPr>
          <w:rFonts w:ascii="Tahoma" w:hAnsi="Tahoma" w:hint="eastAsia"/>
          <w:sz w:val="24"/>
          <w:szCs w:val="24"/>
          <w:lang w:val="zh-CN"/>
        </w:rPr>
        <w:t>体外生命支持系统</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164"/>
        <w:gridCol w:w="6855"/>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F8339A">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临淄区人民院</w:t>
            </w:r>
            <w:r w:rsidR="00F8339A">
              <w:rPr>
                <w:rFonts w:cs="宋体" w:hint="eastAsia"/>
                <w:b/>
                <w:color w:val="000000" w:themeColor="text1"/>
                <w:sz w:val="24"/>
                <w:szCs w:val="24"/>
              </w:rPr>
              <w:t>体外生命支持系统</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F8339A" w:rsidRDefault="00F8339A" w:rsidP="005309E4">
      <w:pPr>
        <w:ind w:firstLineChars="196" w:firstLine="472"/>
        <w:rPr>
          <w:rFonts w:ascii="宋体" w:hAnsi="宋体"/>
          <w:b/>
          <w:sz w:val="24"/>
          <w:szCs w:val="24"/>
        </w:rPr>
      </w:pPr>
    </w:p>
    <w:p w:rsidR="00F8339A" w:rsidRDefault="00F8339A" w:rsidP="005309E4">
      <w:pPr>
        <w:ind w:firstLineChars="196" w:firstLine="472"/>
        <w:rPr>
          <w:rFonts w:ascii="宋体" w:hAnsi="宋体"/>
          <w:b/>
          <w:sz w:val="24"/>
          <w:szCs w:val="24"/>
        </w:rPr>
      </w:pPr>
    </w:p>
    <w:p w:rsidR="00F8339A" w:rsidRPr="00F8339A" w:rsidRDefault="00F8339A" w:rsidP="00F8339A">
      <w:pPr>
        <w:spacing w:line="500" w:lineRule="exact"/>
        <w:jc w:val="center"/>
        <w:rPr>
          <w:rFonts w:ascii="宋体" w:hAnsi="宋体"/>
          <w:b/>
          <w:sz w:val="30"/>
          <w:szCs w:val="30"/>
        </w:rPr>
      </w:pPr>
      <w:r w:rsidRPr="00F8339A">
        <w:rPr>
          <w:rFonts w:ascii="宋体" w:hAnsi="宋体" w:hint="eastAsia"/>
          <w:b/>
          <w:sz w:val="30"/>
          <w:szCs w:val="30"/>
        </w:rPr>
        <w:lastRenderedPageBreak/>
        <w:t>临淄区人民医院体外生命支持系统参数</w:t>
      </w:r>
    </w:p>
    <w:p w:rsidR="006D242F" w:rsidRDefault="006D242F" w:rsidP="006D242F">
      <w:pPr>
        <w:ind w:firstLineChars="196" w:firstLine="470"/>
        <w:rPr>
          <w:rFonts w:ascii="宋体" w:hAnsi="宋体" w:hint="eastAsia"/>
          <w:sz w:val="24"/>
          <w:szCs w:val="24"/>
        </w:rPr>
      </w:pP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一、离心泵</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1、产品由主机，变温装置，驱动装置，空氧混合器，台车及其他配置组成。面板及马达均可以灵活调节高度及位置方便操作者。</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2、离心泵流量范围：0.00-10升/分   显示精度：±10%。</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3、转速显示范围：≤4500转/分     转数调节精度：1转</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4、底坐内置电池使用时间&gt;90分钟,永久充电式电瓶，可反复充电并有剩余电量显示。</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5、有低转速保护锁,防止低转速引起反流。</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6、离心泵驱动装置：要求为整合型流量及气泡检测，不需要另外接流量计玻管，避免破坏管道的联系性。测定所应用消耗材料通路中的压力（静脉端压力、氧合器压力、动脉端压力、氧合器与静脉端压力差）。采用非接触式设计，减少与血液的接触，尽可能降低此类接触造成的血球及血液成份的破坏。</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7、有1000转以下低转速保护开关，防止返流。以增加安全保障。</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8、 具备手动工作模式和自动工作模式。</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9、ECMO泵头预充量：≤35ml，泵头最大流量：8L/分钟，泵头最大输出压力：800mmHg，泵头进出口管径：3/8”英寸，预充量要求泵头采用磁悬浮技术。</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10、提供全ECMO耗材套包,且必须有CE认证能使用7天以上。</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11、离心泵紧急手摇驱动装置，在紧急状态下，可手动维持机器运转，最大限度的保证患者安全。手摇装置上有转速显示，显示1000-4000RPM。误差±250RPM。</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12、同一品牌原装进口全不锈钢制作移动推车，小巧、灵活、方便。</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二、空氧混合器</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1、该产品可以单独使用，也可与相关设备配套使用。具有操作简单控制精确，智能过滤的特点，可以提供精密的空气/氧气混合。</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2、高18.4cm/宽22.9 cm/厚15.2 cm  重2.7kg。</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3、精确度±3%。</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4、最大流量40LPM。</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5、最小流量精度25ml。</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lastRenderedPageBreak/>
        <w:t>6、可调FLO2  21%to100%。</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7、提供压力范围 50psi±10 psi。</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8、流量计  0-10LPM   0-1000ml  O2/Air。</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三、变温水箱</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1、医用升温、降温水箱要求与离心泵主机为原装进口同一品牌， 可同时供变温毯和氧合器。</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2、可同时供变温毯和氧合器。</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3、工作电压　220-240VAC，50-60Hz  能耗：320W。</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4、水温设定范围：　约15-39℃。</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5、升温功率：750W max(在27℃)     升温时间：约5-10分钟(20-37℃)。</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6、降温功率：500W max(在27℃)     降温时间：约5-10分钟(20-15℃)。</w:t>
      </w:r>
    </w:p>
    <w:p w:rsidR="006D242F" w:rsidRPr="006D242F" w:rsidRDefault="006D242F" w:rsidP="006D242F">
      <w:pPr>
        <w:spacing w:line="360" w:lineRule="auto"/>
        <w:ind w:firstLineChars="196" w:firstLine="470"/>
        <w:rPr>
          <w:rFonts w:ascii="宋体" w:hAnsi="宋体" w:hint="eastAsia"/>
          <w:sz w:val="24"/>
          <w:szCs w:val="24"/>
        </w:rPr>
      </w:pPr>
      <w:r w:rsidRPr="006D242F">
        <w:rPr>
          <w:rFonts w:ascii="宋体" w:hAnsi="宋体" w:hint="eastAsia"/>
          <w:sz w:val="24"/>
          <w:szCs w:val="24"/>
        </w:rPr>
        <w:t>7、水泵功效：11L/min max 0.15bar  使用环境温度：10-30℃。</w:t>
      </w:r>
    </w:p>
    <w:p w:rsidR="00F8339A" w:rsidRPr="006D242F" w:rsidRDefault="006D242F" w:rsidP="006D242F">
      <w:pPr>
        <w:spacing w:line="360" w:lineRule="auto"/>
        <w:ind w:firstLineChars="196" w:firstLine="470"/>
        <w:rPr>
          <w:rFonts w:ascii="宋体" w:hAnsi="宋体"/>
          <w:sz w:val="24"/>
          <w:szCs w:val="24"/>
        </w:rPr>
      </w:pPr>
      <w:r w:rsidRPr="006D242F">
        <w:rPr>
          <w:rFonts w:ascii="宋体" w:hAnsi="宋体" w:hint="eastAsia"/>
          <w:sz w:val="24"/>
          <w:szCs w:val="24"/>
        </w:rPr>
        <w:t>8、外形尺寸：约200×290×440mm    重量：约17Kg(装水)。</w:t>
      </w:r>
    </w:p>
    <w:sectPr w:rsidR="00F8339A" w:rsidRPr="006D242F"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5F" w:rsidRDefault="0095015F" w:rsidP="00026CC8">
      <w:r>
        <w:separator/>
      </w:r>
    </w:p>
  </w:endnote>
  <w:endnote w:type="continuationSeparator" w:id="1">
    <w:p w:rsidR="0095015F" w:rsidRDefault="0095015F"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5F" w:rsidRDefault="0095015F" w:rsidP="00026CC8">
      <w:r>
        <w:separator/>
      </w:r>
    </w:p>
  </w:footnote>
  <w:footnote w:type="continuationSeparator" w:id="1">
    <w:p w:rsidR="0095015F" w:rsidRDefault="0095015F"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31EC"/>
    <w:rsid w:val="00536339"/>
    <w:rsid w:val="005623DD"/>
    <w:rsid w:val="005A2EFE"/>
    <w:rsid w:val="005F2B82"/>
    <w:rsid w:val="00605D7E"/>
    <w:rsid w:val="006068FE"/>
    <w:rsid w:val="00665821"/>
    <w:rsid w:val="006677CA"/>
    <w:rsid w:val="00677FDE"/>
    <w:rsid w:val="006B56FD"/>
    <w:rsid w:val="006C792B"/>
    <w:rsid w:val="006C7D22"/>
    <w:rsid w:val="006D242F"/>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5015F"/>
    <w:rsid w:val="00970639"/>
    <w:rsid w:val="009A3933"/>
    <w:rsid w:val="009A39B1"/>
    <w:rsid w:val="009A5219"/>
    <w:rsid w:val="009C1746"/>
    <w:rsid w:val="009C2B17"/>
    <w:rsid w:val="009C7EB3"/>
    <w:rsid w:val="009E05B7"/>
    <w:rsid w:val="00A10E6B"/>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F1D8D"/>
    <w:rsid w:val="00D362D7"/>
    <w:rsid w:val="00D50A10"/>
    <w:rsid w:val="00D50B7E"/>
    <w:rsid w:val="00D57907"/>
    <w:rsid w:val="00DE2A5E"/>
    <w:rsid w:val="00DF6D30"/>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8339A"/>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269</Words>
  <Characters>1539</Characters>
  <Application>Microsoft Office Word</Application>
  <DocSecurity>0</DocSecurity>
  <Lines>12</Lines>
  <Paragraphs>3</Paragraphs>
  <ScaleCrop>false</ScaleCrop>
  <Company>china</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140</cp:revision>
  <dcterms:created xsi:type="dcterms:W3CDTF">2016-08-31T03:24:00Z</dcterms:created>
  <dcterms:modified xsi:type="dcterms:W3CDTF">2017-09-25T08:34:00Z</dcterms:modified>
</cp:coreProperties>
</file>