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383BF8" w:rsidP="00F2555F">
      <w:pPr>
        <w:tabs>
          <w:tab w:val="left" w:pos="2160"/>
        </w:tabs>
        <w:spacing w:line="800" w:lineRule="exact"/>
        <w:jc w:val="center"/>
        <w:rPr>
          <w:b/>
          <w:kern w:val="24"/>
          <w:sz w:val="48"/>
          <w:szCs w:val="48"/>
        </w:rPr>
      </w:pPr>
      <w:r>
        <w:rPr>
          <w:rFonts w:hint="eastAsia"/>
          <w:b/>
          <w:kern w:val="24"/>
          <w:sz w:val="48"/>
          <w:szCs w:val="48"/>
        </w:rPr>
        <w:t>互联网医院软件</w:t>
      </w:r>
      <w:r w:rsidR="00F13DD6">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383BF8">
        <w:rPr>
          <w:rFonts w:ascii="黑体" w:eastAsia="黑体" w:hint="eastAsia"/>
          <w:sz w:val="30"/>
          <w:szCs w:val="30"/>
        </w:rPr>
        <w:t>2020</w:t>
      </w:r>
      <w:r w:rsidRPr="00BA5CC0">
        <w:rPr>
          <w:rFonts w:ascii="黑体" w:eastAsia="黑体" w:hint="eastAsia"/>
          <w:sz w:val="30"/>
          <w:szCs w:val="30"/>
        </w:rPr>
        <w:t>年</w:t>
      </w:r>
      <w:r w:rsidR="002C2119">
        <w:rPr>
          <w:rFonts w:ascii="黑体" w:eastAsia="黑体" w:hint="eastAsia"/>
          <w:sz w:val="30"/>
          <w:szCs w:val="30"/>
        </w:rPr>
        <w:t>0</w:t>
      </w:r>
      <w:r w:rsidR="00383BF8">
        <w:rPr>
          <w:rFonts w:ascii="黑体" w:eastAsia="黑体" w:hint="eastAsia"/>
          <w:sz w:val="30"/>
          <w:szCs w:val="30"/>
        </w:rPr>
        <w:t>3</w:t>
      </w:r>
      <w:r w:rsidRPr="00BA5CC0">
        <w:rPr>
          <w:rFonts w:ascii="黑体" w:eastAsia="黑体" w:hint="eastAsia"/>
          <w:sz w:val="30"/>
          <w:szCs w:val="30"/>
        </w:rPr>
        <w:t>月</w:t>
      </w:r>
      <w:r w:rsidR="00383BF8">
        <w:rPr>
          <w:rFonts w:ascii="黑体" w:eastAsia="黑体" w:hint="eastAsia"/>
          <w:sz w:val="30"/>
          <w:szCs w:val="30"/>
        </w:rPr>
        <w:t>18</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383BF8">
        <w:rPr>
          <w:rFonts w:ascii="Tahoma" w:hAnsi="Tahoma" w:hint="eastAsia"/>
          <w:sz w:val="24"/>
          <w:szCs w:val="24"/>
          <w:lang w:val="zh-CN"/>
        </w:rPr>
        <w:t>互联网医院软件</w:t>
      </w:r>
      <w:r w:rsidR="00F13DD6">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C84D12">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383BF8">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383BF8">
              <w:rPr>
                <w:rFonts w:cs="宋体" w:hint="eastAsia"/>
                <w:b/>
                <w:color w:val="000000" w:themeColor="text1"/>
                <w:sz w:val="24"/>
                <w:szCs w:val="24"/>
              </w:rPr>
              <w:t>互联网医院软件</w:t>
            </w:r>
            <w:r w:rsidR="00F13DD6">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00FA4398">
              <w:rPr>
                <w:rFonts w:cs="宋体" w:hint="eastAsia"/>
                <w:color w:val="000000" w:themeColor="text1"/>
                <w:sz w:val="24"/>
                <w:szCs w:val="24"/>
              </w:rPr>
              <w:t>、具有独立法人资格的供应商，具有统一社会信用代码的营业执照、</w:t>
            </w:r>
            <w:r w:rsidR="00383BF8" w:rsidRPr="00C46584">
              <w:rPr>
                <w:rFonts w:hint="eastAsia"/>
                <w:color w:val="000000"/>
                <w:sz w:val="24"/>
                <w:szCs w:val="24"/>
              </w:rPr>
              <w:t>计算机软件著作权登记证</w:t>
            </w:r>
            <w:r w:rsidR="00FA4398">
              <w:rPr>
                <w:rFonts w:cs="宋体" w:hint="eastAsia"/>
                <w:color w:val="000000" w:themeColor="text1"/>
                <w:sz w:val="24"/>
                <w:szCs w:val="24"/>
              </w:rPr>
              <w:t>、</w:t>
            </w:r>
            <w:r w:rsidRPr="002C2119">
              <w:rPr>
                <w:rFonts w:cs="宋体" w:hint="eastAsia"/>
                <w:color w:val="000000" w:themeColor="text1"/>
                <w:sz w:val="24"/>
                <w:szCs w:val="24"/>
              </w:rPr>
              <w:t>法定代表人身份证或法人授权委托书及被委托人身份证</w:t>
            </w:r>
            <w:r w:rsidR="00383BF8">
              <w:rPr>
                <w:rFonts w:cs="宋体" w:hint="eastAsia"/>
                <w:color w:val="000000" w:themeColor="text1"/>
                <w:sz w:val="24"/>
                <w:szCs w:val="24"/>
              </w:rPr>
              <w:t>等</w:t>
            </w:r>
            <w:r w:rsidR="004A1361">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授权链相关公司资质（同时提供所代理生产厂家的营业执照、生产许可证复印件），以上证件原件及盖章复印件</w:t>
            </w:r>
            <w:r w:rsidRPr="002C2119">
              <w:rPr>
                <w:rFonts w:cs="宋体" w:hint="eastAsia"/>
                <w:color w:val="000000" w:themeColor="text1"/>
                <w:sz w:val="24"/>
                <w:szCs w:val="24"/>
              </w:rPr>
              <w:t>;</w:t>
            </w:r>
            <w:r w:rsidR="008748ED">
              <w:rPr>
                <w:rFonts w:hint="eastAsia"/>
                <w:sz w:val="24"/>
                <w:szCs w:val="24"/>
              </w:rPr>
              <w:t xml:space="preserve"> </w:t>
            </w:r>
            <w:r w:rsidR="008748ED">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C7763C" w:rsidRDefault="00F2555F" w:rsidP="00C7763C">
      <w:pPr>
        <w:snapToGrid w:val="0"/>
        <w:spacing w:line="360" w:lineRule="auto"/>
        <w:ind w:firstLineChars="147" w:firstLine="354"/>
        <w:rPr>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w:t>
      </w:r>
      <w:r w:rsidR="005309E4" w:rsidRPr="00C7763C">
        <w:rPr>
          <w:rFonts w:hint="eastAsia"/>
          <w:b/>
          <w:sz w:val="24"/>
          <w:szCs w:val="24"/>
        </w:rPr>
        <w:lastRenderedPageBreak/>
        <w:t>标响应的技术指标均应符合相应的国家标准。并提供相关有效的认证资料或提供能包涵本项目需要货物的技术要求资料给予支持说明。</w:t>
      </w:r>
    </w:p>
    <w:p w:rsidR="005309E4" w:rsidRPr="00C7763C" w:rsidRDefault="005309E4" w:rsidP="00C7763C">
      <w:pPr>
        <w:snapToGrid w:val="0"/>
        <w:spacing w:line="360" w:lineRule="auto"/>
        <w:ind w:firstLineChars="147" w:firstLine="354"/>
        <w:rPr>
          <w:b/>
          <w:sz w:val="24"/>
          <w:szCs w:val="24"/>
        </w:rPr>
      </w:pPr>
      <w:r w:rsidRPr="00C7763C">
        <w:rPr>
          <w:rFonts w:hint="eastAsia"/>
          <w:b/>
          <w:sz w:val="24"/>
          <w:szCs w:val="24"/>
        </w:rPr>
        <w:t>2</w:t>
      </w:r>
      <w:r w:rsidRPr="00C7763C">
        <w:rPr>
          <w:rFonts w:hint="eastAsia"/>
          <w:b/>
          <w:sz w:val="24"/>
          <w:szCs w:val="24"/>
        </w:rPr>
        <w:t>、货物需要技术要求如下：</w:t>
      </w:r>
    </w:p>
    <w:p w:rsidR="005309E4" w:rsidRPr="00C7763C" w:rsidRDefault="005309E4" w:rsidP="00C7763C">
      <w:pPr>
        <w:snapToGrid w:val="0"/>
        <w:spacing w:line="360" w:lineRule="auto"/>
        <w:ind w:firstLineChars="147" w:firstLine="413"/>
        <w:jc w:val="center"/>
        <w:rPr>
          <w:b/>
          <w:sz w:val="28"/>
          <w:szCs w:val="28"/>
        </w:rPr>
      </w:pPr>
      <w:r w:rsidRPr="00C7763C">
        <w:rPr>
          <w:rFonts w:hint="eastAsia"/>
          <w:b/>
          <w:sz w:val="28"/>
          <w:szCs w:val="28"/>
        </w:rPr>
        <w:t>临淄区人民医院</w:t>
      </w:r>
      <w:r w:rsidR="00C84D12">
        <w:rPr>
          <w:rFonts w:hint="eastAsia"/>
          <w:b/>
          <w:sz w:val="28"/>
          <w:szCs w:val="28"/>
        </w:rPr>
        <w:t>互联网医院软件</w:t>
      </w:r>
      <w:r w:rsidRPr="00C7763C">
        <w:rPr>
          <w:rFonts w:hint="eastAsia"/>
          <w:b/>
          <w:sz w:val="28"/>
          <w:szCs w:val="28"/>
        </w:rPr>
        <w:t>参数</w:t>
      </w:r>
    </w:p>
    <w:p w:rsidR="00763F87" w:rsidRPr="00763F87" w:rsidRDefault="00763F87" w:rsidP="00763F87">
      <w:pPr>
        <w:spacing w:line="360" w:lineRule="auto"/>
        <w:ind w:firstLineChars="196" w:firstLine="551"/>
        <w:rPr>
          <w:rFonts w:ascii="宋体" w:hAnsi="宋体"/>
          <w:b/>
          <w:sz w:val="28"/>
          <w:szCs w:val="28"/>
        </w:rPr>
      </w:pPr>
      <w:r w:rsidRPr="00763F87">
        <w:rPr>
          <w:rFonts w:ascii="宋体" w:hAnsi="宋体" w:hint="eastAsia"/>
          <w:b/>
          <w:sz w:val="28"/>
          <w:szCs w:val="28"/>
        </w:rPr>
        <w:t>在医院现有互联网功能（预约挂号、充值缴费、信息查询、门诊住院服务等）之外完成如下系统功能需求：</w:t>
      </w:r>
    </w:p>
    <w:p w:rsidR="00763F87" w:rsidRPr="00EE7853" w:rsidRDefault="00763F87" w:rsidP="00763F87">
      <w:pPr>
        <w:pStyle w:val="ad"/>
        <w:numPr>
          <w:ilvl w:val="0"/>
          <w:numId w:val="13"/>
        </w:numPr>
        <w:spacing w:line="360" w:lineRule="auto"/>
        <w:ind w:firstLineChars="0"/>
        <w:rPr>
          <w:rFonts w:ascii="宋体" w:hAnsi="宋体"/>
          <w:b/>
          <w:sz w:val="28"/>
          <w:szCs w:val="28"/>
        </w:rPr>
      </w:pPr>
      <w:r w:rsidRPr="00EE7853">
        <w:rPr>
          <w:rFonts w:ascii="宋体" w:hAnsi="宋体" w:hint="eastAsia"/>
          <w:b/>
          <w:sz w:val="28"/>
          <w:szCs w:val="28"/>
        </w:rPr>
        <w:t>软件功能要求</w:t>
      </w:r>
    </w:p>
    <w:p w:rsidR="00763F87" w:rsidRPr="00541855" w:rsidRDefault="00763F87" w:rsidP="00763F87">
      <w:pPr>
        <w:pStyle w:val="ad"/>
        <w:adjustRightInd w:val="0"/>
        <w:snapToGrid w:val="0"/>
        <w:spacing w:line="360" w:lineRule="auto"/>
        <w:ind w:firstLine="480"/>
        <w:rPr>
          <w:rFonts w:ascii="宋体" w:hAnsi="宋体"/>
          <w:sz w:val="24"/>
          <w:szCs w:val="24"/>
        </w:rPr>
      </w:pPr>
      <w:r w:rsidRPr="00541855">
        <w:rPr>
          <w:rFonts w:ascii="宋体" w:hAnsi="宋体" w:hint="eastAsia"/>
          <w:sz w:val="24"/>
          <w:szCs w:val="24"/>
        </w:rPr>
        <w:t>软件在现有预约挂号、信息查询、充值缴费、医生科室介绍、健康工具等功能基础上增加如下要求：</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图文语音问诊</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图文语音咨询、问诊功能需满足患者使用文字、语音会话完成与线上医生咨询的功能，需支持图片传输（保证图片的清晰度）。</w:t>
      </w:r>
    </w:p>
    <w:p w:rsidR="00763F87" w:rsidRPr="00541855" w:rsidRDefault="00763F87" w:rsidP="00763F87">
      <w:pPr>
        <w:adjustRightInd w:val="0"/>
        <w:snapToGrid w:val="0"/>
        <w:spacing w:line="360" w:lineRule="auto"/>
        <w:rPr>
          <w:rFonts w:ascii="宋体" w:hAnsi="宋体"/>
          <w:sz w:val="24"/>
          <w:szCs w:val="24"/>
        </w:rPr>
      </w:pPr>
      <w:r w:rsidRPr="00541855">
        <w:rPr>
          <w:rFonts w:ascii="宋体" w:hAnsi="宋体" w:hint="eastAsia"/>
          <w:sz w:val="24"/>
          <w:szCs w:val="24"/>
        </w:rPr>
        <w:t>患者在进行在线问诊时需可预先输入症状主诉信息，上传历史报告等，并把患者所填信息以结构化数据模式传给医院HIS、EMR，让医生接诊前有一定患者的背景了解。</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音视频问诊</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音视频问诊功能需满足患者使用语音通话、视频会话完成与在线医生进行问诊的功能，语音通话需保护医患双方隐私信息。</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患者在进行在线音视频问诊时需预先输入症状主诉信息，并把患者所填信息以结构化数据模式传给医院HIS、EMR，让医生接诊前有一定患者的背景了解。</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在线导诊</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患者由在线问诊入口进入，判断为初诊病人时，通过AI导诊问答的形式，推荐最适合患者情况的就诊科室，并能直接跳转到预约界面。</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在线复诊</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患者由在线问诊入口进入，判断为复诊病人时，需经过选择医生、号源时间、复诊方式及认证身份后选择复诊疾病标签，随后可进行在线挂号，医生在医生端接诊前可查看历史诊疗记录信息（电子病历、检验检查等）。进入复诊会话进行医患交流后，可在医生端开具处方或检验、护理医嘱，患者可即时收到处方或医嘱信息。</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lastRenderedPageBreak/>
        <w:t>电子处方</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应当掌握患者病历资料，确定患者在实体医疗机构明确诊断为某种或某几种常见病、慢性病后，可以针对相同诊断的疾病在线开具处方。所有在线诊断、处方必须有CA认证的医生电子签名，处方经药师审核合格后方可生效，进入处方流转环节。处方审核与处方闭环管理。</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检验检查申请</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医生在线诊断后可开具检验检查申请单，电子申请单经CA认证的医生电子签名，申请单与院内HIS、PACS、检查预约系统对接，可将申请单信息结构化后传给各系统，实现预约检查等信息。</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电子病历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医生端线上诊疗时需支持电子病历查看和书写功能，包括PC端和手机端，病历格式与HIS一致，新增病历和修改病历的数据以结构化形式回传EMR。实线打通线上、院内EMR病历双向数据打通共享。</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报告查看</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医生在PC、手机端支持查看患者的检查检验报告，报告信息加密传输，符合医院安全要求。</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处方流转</w:t>
      </w:r>
    </w:p>
    <w:p w:rsidR="00763F87" w:rsidRDefault="00763F87" w:rsidP="00763F87">
      <w:pPr>
        <w:adjustRightInd w:val="0"/>
        <w:snapToGrid w:val="0"/>
        <w:spacing w:line="360" w:lineRule="auto"/>
        <w:ind w:firstLineChars="200" w:firstLine="480"/>
        <w:rPr>
          <w:rFonts w:ascii="宋体" w:hAnsi="宋体" w:hint="eastAsia"/>
          <w:sz w:val="24"/>
          <w:szCs w:val="24"/>
        </w:rPr>
      </w:pPr>
      <w:r w:rsidRPr="00541855">
        <w:rPr>
          <w:rFonts w:ascii="宋体" w:hAnsi="宋体" w:hint="eastAsia"/>
          <w:sz w:val="24"/>
          <w:szCs w:val="24"/>
        </w:rPr>
        <w:t>处方流转系统需支持配送上门与用户自提功能，需实现物流状态进度跟踪功能，处方流转供应商需具备GSP资质。</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Pr>
          <w:rFonts w:ascii="宋体" w:hAnsi="宋体" w:hint="eastAsia"/>
          <w:sz w:val="24"/>
          <w:szCs w:val="24"/>
        </w:rPr>
        <w:t>电子票据</w:t>
      </w:r>
    </w:p>
    <w:p w:rsidR="00763F87" w:rsidRPr="00541855" w:rsidRDefault="00763F87" w:rsidP="00763F87">
      <w:pPr>
        <w:adjustRightInd w:val="0"/>
        <w:snapToGrid w:val="0"/>
        <w:spacing w:line="360" w:lineRule="auto"/>
        <w:ind w:firstLineChars="200" w:firstLine="480"/>
        <w:rPr>
          <w:rFonts w:ascii="宋体" w:hAnsi="宋体"/>
          <w:sz w:val="24"/>
          <w:szCs w:val="24"/>
        </w:rPr>
      </w:pPr>
      <w:r>
        <w:rPr>
          <w:rFonts w:ascii="宋体" w:hAnsi="宋体" w:hint="eastAsia"/>
          <w:sz w:val="24"/>
          <w:szCs w:val="24"/>
        </w:rPr>
        <w:t>提供电子票据功能，预留电子发票功能对接及展示打印功能。</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系统对接</w:t>
      </w:r>
    </w:p>
    <w:p w:rsidR="00763F87" w:rsidRPr="00541855" w:rsidRDefault="00763F87" w:rsidP="00763F87">
      <w:pPr>
        <w:adjustRightInd w:val="0"/>
        <w:snapToGrid w:val="0"/>
        <w:spacing w:line="360" w:lineRule="auto"/>
        <w:rPr>
          <w:rFonts w:ascii="宋体" w:hAnsi="宋体"/>
          <w:sz w:val="24"/>
          <w:szCs w:val="24"/>
        </w:rPr>
      </w:pPr>
      <w:r w:rsidRPr="00541855">
        <w:rPr>
          <w:rFonts w:ascii="宋体" w:hAnsi="宋体" w:hint="eastAsia"/>
          <w:sz w:val="24"/>
          <w:szCs w:val="24"/>
        </w:rPr>
        <w:t xml:space="preserve">    完成与集成平台、单点登录、360患者全息等系统功能对接。可对接医保接口，支持医保病人线上挂号和付费等功能。</w:t>
      </w:r>
    </w:p>
    <w:p w:rsidR="00763F87" w:rsidRPr="00EE7853" w:rsidRDefault="00763F87" w:rsidP="00763F87">
      <w:pPr>
        <w:rPr>
          <w:rFonts w:ascii="宋体" w:hAnsi="宋体"/>
          <w:b/>
          <w:sz w:val="28"/>
          <w:szCs w:val="28"/>
        </w:rPr>
      </w:pPr>
      <w:r w:rsidRPr="00EE7853">
        <w:rPr>
          <w:rFonts w:ascii="宋体" w:hAnsi="宋体" w:hint="eastAsia"/>
          <w:b/>
          <w:sz w:val="28"/>
          <w:szCs w:val="28"/>
        </w:rPr>
        <w:t>二、软件管理要求</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排班管理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能够对医生资源进行统一调配服务。为管理人员提供一个排班管理的平台界面，并对于排班后统一通知被排班的医生及时为患者提供服务。</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医生能够根据医院的安排及个人时间的安排来管理自己的排班，进行排班的</w:t>
      </w:r>
      <w:r w:rsidRPr="00541855">
        <w:rPr>
          <w:rFonts w:ascii="宋体" w:hAnsi="宋体" w:hint="eastAsia"/>
          <w:sz w:val="24"/>
          <w:szCs w:val="24"/>
        </w:rPr>
        <w:lastRenderedPageBreak/>
        <w:t>添加、停号、取消。并可对排班的预约量和已预约的患者信息进行查看。</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能够根据医院的医生资源为互联网医院提供普通排班，上传排班信息完成后，自动进行系统消息推，给被排班的医生，并在医生移动端与PC端日历中自动添加工作计划与提醒功能。</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患者管理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建立患者管理系统，对医生在互联网医院上问诊过的患者进行信息记录，医生可对自己问诊过的患者个人信息、患者咨询历史、患者本次咨询信息进行查询。</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医生可以通过咨询患者列表查看历史咨询过的病患的信息，列表中可简单查看患者的姓名，所患疾病和最近的咨询时间，可通过查看详情查看患者的所有具体信息（历史咨询记录、健康档案、买药服药情况）。</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支持自定义条件查询，查询历史患者信息，能够精准定位具体患者信息列表，能够通过患者姓名、病案号、诊断等基本信息进行搜索从而快速定位到需要查看的病患。</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患者实名认证</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建立患者身份认证管理功能，对接实名认证平台，对患者的姓名、性别、年龄、身份证号等基本信息进行认证，保证平台使用患者用户身份的真实性。</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咨询结束管理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在患者与医生达成一致的情况下，医生或患者确认结束功能，至此患者用户的一次线上图文咨询服务结束。</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咨询评价</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 xml:space="preserve">建立患者评价系统，为患者用户提供对医生的服务进行评价的功能，主要为医生服务的星级评价及文字评价，系统进行敏感词检测及评价制止，并最终保存评价展示到医生端。 </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患者信息管理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建立个人中心管理功能，方便患者亲友信息管理，同时包含对患者的个人登录状态、手机号等进行设置。</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账号管理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建立登录系统，用户通过手机号+验证码的方式进行快速登录客户端，系统检测手机号是否有效，并反馈到客户端。</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实现用户密码忘记、密码被盗、冻结等密码管理，向后台管理申请密码管理</w:t>
      </w:r>
      <w:r w:rsidRPr="00541855">
        <w:rPr>
          <w:rFonts w:ascii="宋体" w:hAnsi="宋体" w:hint="eastAsia"/>
          <w:sz w:val="24"/>
          <w:szCs w:val="24"/>
        </w:rPr>
        <w:lastRenderedPageBreak/>
        <w:t>找回或重置，重置后对于数据进行更新，并向用户手机或邮箱发送重置信息，并对密码进行加密处理，保证密码为密文存储。</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患者病历管理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实现患者对自己病历管理，患者在互联网医院上历次咨询的病历记录以及在医院系统中下载传输过来的咨询资料自动保存在病历管理系统中，方便患者查询及追溯。</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问诊价格管理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能够对于互联网医院系统的问诊费价格体系进行管理，为价格管理提供添加、修改、查询、删除等列表功能。</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 xml:space="preserve">针对不同问诊服务和不同的医生级别进行分类定价，在支付时调取不同的价格参数进行验证支付。 </w:t>
      </w:r>
    </w:p>
    <w:p w:rsidR="00763F87" w:rsidRPr="00541855" w:rsidRDefault="00763F87" w:rsidP="00763F87">
      <w:pPr>
        <w:pStyle w:val="ad"/>
        <w:numPr>
          <w:ilvl w:val="0"/>
          <w:numId w:val="12"/>
        </w:numPr>
        <w:adjustRightInd w:val="0"/>
        <w:snapToGrid w:val="0"/>
        <w:spacing w:line="360" w:lineRule="auto"/>
        <w:ind w:firstLineChars="0"/>
        <w:rPr>
          <w:rFonts w:ascii="宋体" w:hAnsi="宋体"/>
          <w:sz w:val="24"/>
          <w:szCs w:val="24"/>
        </w:rPr>
      </w:pPr>
      <w:r w:rsidRPr="00541855">
        <w:rPr>
          <w:rFonts w:ascii="宋体" w:hAnsi="宋体" w:hint="eastAsia"/>
          <w:sz w:val="24"/>
          <w:szCs w:val="24"/>
        </w:rPr>
        <w:t>后台管理</w:t>
      </w:r>
    </w:p>
    <w:p w:rsidR="00763F87" w:rsidRPr="00541855" w:rsidRDefault="00763F87" w:rsidP="00763F87">
      <w:pPr>
        <w:adjustRightInd w:val="0"/>
        <w:snapToGrid w:val="0"/>
        <w:spacing w:line="360" w:lineRule="auto"/>
        <w:ind w:firstLineChars="200" w:firstLine="480"/>
        <w:rPr>
          <w:rFonts w:ascii="宋体" w:hAnsi="宋体"/>
          <w:sz w:val="24"/>
          <w:szCs w:val="24"/>
        </w:rPr>
      </w:pPr>
      <w:r w:rsidRPr="00541855">
        <w:rPr>
          <w:rFonts w:ascii="宋体" w:hAnsi="宋体" w:hint="eastAsia"/>
          <w:sz w:val="24"/>
          <w:szCs w:val="24"/>
        </w:rPr>
        <w:t>要求对于互联网医院的信息、医生用户、订单、就诊服务等业务进行管理平台，医院了解线上就诊和线上医疗服务质量管理功能，在线诊疗过程中产生的图文音频记录的存留查看。为院长、医务科、医生等角色清晰的了解互联网医院的运营状态等数据。</w:t>
      </w:r>
    </w:p>
    <w:p w:rsidR="00763F87" w:rsidRPr="00EE7853" w:rsidRDefault="00763F87" w:rsidP="00763F87">
      <w:pPr>
        <w:rPr>
          <w:rFonts w:ascii="宋体" w:hAnsi="宋体"/>
          <w:b/>
          <w:sz w:val="28"/>
          <w:szCs w:val="28"/>
        </w:rPr>
      </w:pPr>
      <w:r w:rsidRPr="00EE7853">
        <w:rPr>
          <w:rFonts w:ascii="宋体" w:hAnsi="宋体" w:hint="eastAsia"/>
          <w:b/>
          <w:sz w:val="28"/>
          <w:szCs w:val="28"/>
        </w:rPr>
        <w:t>三、接口改造要求</w:t>
      </w:r>
    </w:p>
    <w:p w:rsidR="00763F87" w:rsidRPr="00541855" w:rsidRDefault="00763F87" w:rsidP="00763F87">
      <w:pPr>
        <w:adjustRightInd w:val="0"/>
        <w:snapToGrid w:val="0"/>
        <w:spacing w:line="360" w:lineRule="auto"/>
        <w:rPr>
          <w:rFonts w:ascii="宋体" w:hAnsi="宋体" w:hint="eastAsia"/>
          <w:sz w:val="24"/>
          <w:szCs w:val="24"/>
        </w:rPr>
      </w:pPr>
      <w:r w:rsidRPr="00541855">
        <w:rPr>
          <w:rFonts w:ascii="宋体" w:hAnsi="宋体" w:hint="eastAsia"/>
          <w:sz w:val="24"/>
          <w:szCs w:val="24"/>
        </w:rPr>
        <w:t>对于部署互联网医院需改造的信息系统接口包含在线复诊、电子处方、检验检查申请、检验检查报告、电子病历、药品配送、微信支付宝支付、医保支付等，具体接口改造根据业务需要再拟定。</w:t>
      </w:r>
    </w:p>
    <w:p w:rsidR="005309E4" w:rsidRPr="00763F87" w:rsidRDefault="005309E4" w:rsidP="00763F87">
      <w:pPr>
        <w:spacing w:line="360" w:lineRule="auto"/>
        <w:rPr>
          <w:rFonts w:asciiTheme="minorEastAsia" w:hAnsiTheme="minorEastAsia"/>
          <w:sz w:val="24"/>
          <w:szCs w:val="24"/>
        </w:rPr>
      </w:pPr>
    </w:p>
    <w:sectPr w:rsidR="005309E4" w:rsidRPr="00763F87"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A70" w:rsidRDefault="00BF1A70" w:rsidP="00026CC8">
      <w:r>
        <w:separator/>
      </w:r>
    </w:p>
  </w:endnote>
  <w:endnote w:type="continuationSeparator" w:id="1">
    <w:p w:rsidR="00BF1A70" w:rsidRDefault="00BF1A70"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A70" w:rsidRDefault="00BF1A70" w:rsidP="00026CC8">
      <w:r>
        <w:separator/>
      </w:r>
    </w:p>
  </w:footnote>
  <w:footnote w:type="continuationSeparator" w:id="1">
    <w:p w:rsidR="00BF1A70" w:rsidRDefault="00BF1A70"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F45818"/>
    <w:multiLevelType w:val="hybridMultilevel"/>
    <w:tmpl w:val="361A14A6"/>
    <w:lvl w:ilvl="0" w:tplc="5BC63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4415151D"/>
    <w:multiLevelType w:val="hybridMultilevel"/>
    <w:tmpl w:val="8CDC67D8"/>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9">
    <w:nsid w:val="57BBB5DE"/>
    <w:multiLevelType w:val="singleLevel"/>
    <w:tmpl w:val="57BBB5DE"/>
    <w:lvl w:ilvl="0">
      <w:start w:val="5"/>
      <w:numFmt w:val="chineseCounting"/>
      <w:suff w:val="nothing"/>
      <w:lvlText w:val="%1、"/>
      <w:lvlJc w:val="left"/>
    </w:lvl>
  </w:abstractNum>
  <w:abstractNum w:abstractNumId="10">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6"/>
  </w:num>
  <w:num w:numId="3">
    <w:abstractNumId w:val="10"/>
  </w:num>
  <w:num w:numId="4">
    <w:abstractNumId w:val="12"/>
  </w:num>
  <w:num w:numId="5">
    <w:abstractNumId w:val="5"/>
  </w:num>
  <w:num w:numId="6">
    <w:abstractNumId w:val="3"/>
  </w:num>
  <w:num w:numId="7">
    <w:abstractNumId w:val="1"/>
  </w:num>
  <w:num w:numId="8">
    <w:abstractNumId w:val="4"/>
  </w:num>
  <w:num w:numId="9">
    <w:abstractNumId w:val="9"/>
  </w:num>
  <w:num w:numId="10">
    <w:abstractNumId w:val="11"/>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0F4618"/>
    <w:rsid w:val="001228E5"/>
    <w:rsid w:val="00126F38"/>
    <w:rsid w:val="00141C04"/>
    <w:rsid w:val="00152186"/>
    <w:rsid w:val="00174BFA"/>
    <w:rsid w:val="0018741B"/>
    <w:rsid w:val="001A0233"/>
    <w:rsid w:val="001D0BA0"/>
    <w:rsid w:val="001F2898"/>
    <w:rsid w:val="00213FA4"/>
    <w:rsid w:val="002402D3"/>
    <w:rsid w:val="00260773"/>
    <w:rsid w:val="00263B80"/>
    <w:rsid w:val="002925D4"/>
    <w:rsid w:val="002A30A6"/>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83BF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C4930"/>
    <w:rsid w:val="005D3C02"/>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3F87"/>
    <w:rsid w:val="00766256"/>
    <w:rsid w:val="007734AE"/>
    <w:rsid w:val="00773B49"/>
    <w:rsid w:val="00796E63"/>
    <w:rsid w:val="007A7689"/>
    <w:rsid w:val="007B6751"/>
    <w:rsid w:val="007F232A"/>
    <w:rsid w:val="007F54BA"/>
    <w:rsid w:val="00866EFF"/>
    <w:rsid w:val="0087151B"/>
    <w:rsid w:val="008748ED"/>
    <w:rsid w:val="008B745C"/>
    <w:rsid w:val="008C0617"/>
    <w:rsid w:val="008C5563"/>
    <w:rsid w:val="008E2481"/>
    <w:rsid w:val="008F0C9C"/>
    <w:rsid w:val="008F256D"/>
    <w:rsid w:val="00912AFB"/>
    <w:rsid w:val="00924ECC"/>
    <w:rsid w:val="00936969"/>
    <w:rsid w:val="00966F87"/>
    <w:rsid w:val="00970639"/>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E0A87"/>
    <w:rsid w:val="00AE22F8"/>
    <w:rsid w:val="00AF743F"/>
    <w:rsid w:val="00B02471"/>
    <w:rsid w:val="00B07AE1"/>
    <w:rsid w:val="00B11B90"/>
    <w:rsid w:val="00B34ECF"/>
    <w:rsid w:val="00B61ED5"/>
    <w:rsid w:val="00B64C29"/>
    <w:rsid w:val="00B66C41"/>
    <w:rsid w:val="00B87683"/>
    <w:rsid w:val="00BA1C2A"/>
    <w:rsid w:val="00BB08C5"/>
    <w:rsid w:val="00BC22C6"/>
    <w:rsid w:val="00BD099E"/>
    <w:rsid w:val="00BF1A70"/>
    <w:rsid w:val="00C1165F"/>
    <w:rsid w:val="00C23FA4"/>
    <w:rsid w:val="00C25E4F"/>
    <w:rsid w:val="00C4336F"/>
    <w:rsid w:val="00C60720"/>
    <w:rsid w:val="00C63666"/>
    <w:rsid w:val="00C7763C"/>
    <w:rsid w:val="00C84D12"/>
    <w:rsid w:val="00C91DDB"/>
    <w:rsid w:val="00CC7763"/>
    <w:rsid w:val="00CF1D8D"/>
    <w:rsid w:val="00D362D7"/>
    <w:rsid w:val="00D50A10"/>
    <w:rsid w:val="00D50B7E"/>
    <w:rsid w:val="00D57907"/>
    <w:rsid w:val="00D674D2"/>
    <w:rsid w:val="00D81A63"/>
    <w:rsid w:val="00DE2A5E"/>
    <w:rsid w:val="00E011C6"/>
    <w:rsid w:val="00E03ADE"/>
    <w:rsid w:val="00E142E5"/>
    <w:rsid w:val="00E16C05"/>
    <w:rsid w:val="00E22C6F"/>
    <w:rsid w:val="00E37163"/>
    <w:rsid w:val="00E637E9"/>
    <w:rsid w:val="00E90459"/>
    <w:rsid w:val="00EA2AAA"/>
    <w:rsid w:val="00EB10E1"/>
    <w:rsid w:val="00EB4FDC"/>
    <w:rsid w:val="00EC6DCC"/>
    <w:rsid w:val="00EF27E7"/>
    <w:rsid w:val="00F13DD6"/>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489</Words>
  <Characters>2792</Characters>
  <Application>Microsoft Office Word</Application>
  <DocSecurity>0</DocSecurity>
  <Lines>23</Lines>
  <Paragraphs>6</Paragraphs>
  <ScaleCrop>false</ScaleCrop>
  <Company>china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153</cp:revision>
  <dcterms:created xsi:type="dcterms:W3CDTF">2016-08-31T03:24:00Z</dcterms:created>
  <dcterms:modified xsi:type="dcterms:W3CDTF">2020-03-18T06:58:00Z</dcterms:modified>
</cp:coreProperties>
</file>